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ED0A" w14:textId="063E639C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67B305B4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32D4" w14:textId="59FB1C52" w:rsidR="005A4D8C" w:rsidRPr="00476FAF" w:rsidRDefault="005A4D8C" w:rsidP="005A4D8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4A0C34" wp14:editId="38C3090C">
                <wp:simplePos x="0" y="0"/>
                <wp:positionH relativeFrom="margin">
                  <wp:align>right</wp:align>
                </wp:positionH>
                <wp:positionV relativeFrom="paragraph">
                  <wp:posOffset>1136650</wp:posOffset>
                </wp:positionV>
                <wp:extent cx="8661400" cy="1404620"/>
                <wp:effectExtent l="0" t="0" r="2540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5BC0" w14:textId="2ACA1975" w:rsidR="005A4D8C" w:rsidRPr="006E042F" w:rsidRDefault="005A4D8C" w:rsidP="005A4D8C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Helpful Information</w:t>
                            </w: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603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Every corrective action should have its own unique number. This is helpful as the farm can track corrective actions from inspections, </w:t>
                            </w:r>
                            <w:r w:rsidR="00453655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hazard reports, </w:t>
                            </w:r>
                            <w:r w:rsidR="002F603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near miss investigations</w:t>
                            </w:r>
                            <w:r w:rsidR="00453655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incident investigations all in the same place.</w:t>
                            </w:r>
                            <w:r w:rsidR="00A70AF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Examples may look like </w:t>
                            </w:r>
                            <w:r w:rsidR="001B0C4E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YY-</w:t>
                            </w:r>
                            <w:r w:rsidR="00FA4D0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MM</w:t>
                            </w:r>
                            <w:r w:rsidR="005635A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-</w:t>
                            </w:r>
                            <w:r w:rsidR="00BA75C5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001</w:t>
                            </w:r>
                            <w:r w:rsidR="004472A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, inspection specific numbers could </w:t>
                            </w:r>
                            <w:r w:rsidR="00FC1620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be YY-I</w:t>
                            </w:r>
                            <w:r w:rsidR="007761C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-001</w:t>
                            </w:r>
                            <w:r w:rsidR="00521152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, or </w:t>
                            </w:r>
                            <w:r w:rsidR="00026B1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all corrective action numbers </w:t>
                            </w:r>
                            <w:r w:rsidR="00521152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be as simple as </w:t>
                            </w:r>
                            <w:r w:rsidR="00092815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="00026B1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with the number</w:t>
                            </w:r>
                            <w:r w:rsidR="00092815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increas</w:t>
                            </w:r>
                            <w:r w:rsidR="00026B1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ing</w:t>
                            </w:r>
                            <w:r w:rsidR="00092815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sequentially. </w:t>
                            </w:r>
                            <w:r w:rsidR="001C4B2A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The farm may want a corrective action log for each work area or have one corrective action log for the entire farm.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A0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8pt;margin-top:89.5pt;width:682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" filled="f" strokecolor="#7ab800">
                <v:stroke dashstyle="dash"/>
                <v:textbox style="mso-fit-shape-to-text:t">
                  <w:txbxContent>
                    <w:p w14:paraId="22035BC0" w14:textId="2ACA1975" w:rsidR="005A4D8C" w:rsidRPr="006E042F" w:rsidRDefault="005A4D8C" w:rsidP="005A4D8C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Helpful Information</w:t>
                      </w: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2F603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Every corrective action should have its own unique number. This is helpful as the farm can track corrective actions from inspections, </w:t>
                      </w:r>
                      <w:r w:rsidR="00453655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hazard reports, </w:t>
                      </w:r>
                      <w:r w:rsidR="002F603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near miss investigations</w:t>
                      </w:r>
                      <w:r w:rsidR="00453655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incident investigations all in the same place.</w:t>
                      </w:r>
                      <w:r w:rsidR="00A70AF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Examples may look like </w:t>
                      </w:r>
                      <w:r w:rsidR="001B0C4E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YY-</w:t>
                      </w:r>
                      <w:r w:rsidR="00FA4D0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MM</w:t>
                      </w:r>
                      <w:r w:rsidR="005635A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-</w:t>
                      </w:r>
                      <w:r w:rsidR="00BA75C5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001</w:t>
                      </w:r>
                      <w:r w:rsidR="004472A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, inspection specific numbers could </w:t>
                      </w:r>
                      <w:r w:rsidR="00FC1620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be YY-I</w:t>
                      </w:r>
                      <w:r w:rsidR="007761C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-001</w:t>
                      </w:r>
                      <w:r w:rsidR="00521152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, or </w:t>
                      </w:r>
                      <w:r w:rsidR="00026B1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all corrective action numbers </w:t>
                      </w:r>
                      <w:r w:rsidR="00521152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be as simple as </w:t>
                      </w:r>
                      <w:r w:rsidR="00092815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1 </w:t>
                      </w:r>
                      <w:r w:rsidR="00026B1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with the number</w:t>
                      </w:r>
                      <w:r w:rsidR="00092815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increas</w:t>
                      </w:r>
                      <w:r w:rsidR="00026B1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ing</w:t>
                      </w:r>
                      <w:r w:rsidR="00092815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sequentially. </w:t>
                      </w:r>
                      <w:r w:rsidR="001C4B2A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The farm may want a corrective action log for each work area or have one corrective action log for the entire farm.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D3EE940" wp14:editId="6187188F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866775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9B8E" w14:textId="64A77876" w:rsidR="005A4D8C" w:rsidRPr="006E042F" w:rsidRDefault="005A4D8C" w:rsidP="005A4D8C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is a sample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basic corrective action log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and is intended to be a resource document only. The farm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may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need to customize it and make it farm-specific to address the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particular needs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the logo located in the upper right corner of the page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Helpful Information box below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may be deleted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The logo may be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replaced with the farm’s logo.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EE940" id="_x0000_s1027" type="#_x0000_t202" style="position:absolute;margin-left:631.3pt;margin-top:33pt;width:682.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" filled="f" strokecolor="#7ab800">
                <v:stroke dashstyle="dash"/>
                <v:textbox style="mso-fit-shape-to-text:t">
                  <w:txbxContent>
                    <w:p w14:paraId="75E39B8E" w14:textId="64A77876" w:rsidR="005A4D8C" w:rsidRPr="006E042F" w:rsidRDefault="005A4D8C" w:rsidP="005A4D8C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is a sample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basic corrective action log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and is intended to be a resource document only. The farm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may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need to customize it and make it farm-specific to address the </w:t>
                      </w:r>
                      <w:proofErr w:type="gramStart"/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particular needs</w:t>
                      </w:r>
                      <w:proofErr w:type="gramEnd"/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the logo located in the upper right corner of the page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Helpful Information box below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may be deleted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The logo may be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replaced with the farm’s logo.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Corrective Action log </w:t>
      </w:r>
    </w:p>
    <w:p w14:paraId="4D68019A" w14:textId="77777777" w:rsidR="0086616F" w:rsidRDefault="0086616F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615"/>
        <w:gridCol w:w="3510"/>
        <w:gridCol w:w="1530"/>
        <w:gridCol w:w="3600"/>
        <w:gridCol w:w="1440"/>
        <w:gridCol w:w="1980"/>
      </w:tblGrid>
      <w:tr w:rsidR="009A0CAD" w:rsidRPr="00A45D0D" w14:paraId="30B14224" w14:textId="77777777" w:rsidTr="00E02FF4">
        <w:trPr>
          <w:trHeight w:val="288"/>
        </w:trPr>
        <w:tc>
          <w:tcPr>
            <w:tcW w:w="1615" w:type="dxa"/>
            <w:shd w:val="clear" w:color="auto" w:fill="2080B0"/>
            <w:vAlign w:val="center"/>
          </w:tcPr>
          <w:p w14:paraId="21B251C9" w14:textId="77777777" w:rsidR="009A0CAD" w:rsidRPr="00A45D0D" w:rsidRDefault="009A0CAD" w:rsidP="001C4B2A">
            <w:pPr>
              <w:rPr>
                <w:rFonts w:ascii="Avenir Next LT Pro Light" w:hAnsi="Avenir Next LT Pro Light"/>
                <w:b/>
                <w:bCs/>
                <w:caps/>
                <w:sz w:val="20"/>
                <w:szCs w:val="20"/>
              </w:rPr>
            </w:pPr>
            <w:r w:rsidRPr="00A45D0D">
              <w:rPr>
                <w:rFonts w:ascii="Avenir Next LT Pro Light" w:hAnsi="Avenir Next LT Pro Light"/>
                <w:b/>
                <w:bCs/>
                <w:color w:val="FFFFFF" w:themeColor="background1"/>
                <w:sz w:val="20"/>
                <w:szCs w:val="20"/>
              </w:rPr>
              <w:t>Farm Name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FC5A511" w14:textId="4EEAD320" w:rsidR="009A0CAD" w:rsidRPr="00A45D0D" w:rsidRDefault="009A0CAD" w:rsidP="001C4B2A">
            <w:pPr>
              <w:rPr>
                <w:rFonts w:ascii="Avenir Next LT Pro Light" w:hAnsi="Avenir Next LT Pro Light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2080B0"/>
            <w:vAlign w:val="center"/>
          </w:tcPr>
          <w:p w14:paraId="1C5A5392" w14:textId="3A54692C" w:rsidR="009A0CAD" w:rsidRPr="00A45D0D" w:rsidRDefault="009A0CAD" w:rsidP="009A0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5D0D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20"/>
                <w:szCs w:val="20"/>
              </w:rPr>
              <w:t xml:space="preserve">Work Area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044CC13" w14:textId="535388E3" w:rsidR="009A0CAD" w:rsidRPr="00A45D0D" w:rsidRDefault="009A0C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2080B0"/>
            <w:vAlign w:val="center"/>
          </w:tcPr>
          <w:p w14:paraId="7A55CC0A" w14:textId="5E932F79" w:rsidR="009A0CAD" w:rsidRPr="00A45D0D" w:rsidRDefault="009A0CAD" w:rsidP="00E02F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5D0D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20"/>
                <w:szCs w:val="20"/>
              </w:rPr>
              <w:t>Date Started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81A55A" w14:textId="46B74661" w:rsidR="009A0CAD" w:rsidRPr="00A45D0D" w:rsidRDefault="009A0C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DB8486" w14:textId="77777777" w:rsidR="00B464DB" w:rsidRDefault="00B464DB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895"/>
        <w:gridCol w:w="4050"/>
        <w:gridCol w:w="4050"/>
        <w:gridCol w:w="1890"/>
        <w:gridCol w:w="1395"/>
        <w:gridCol w:w="1395"/>
      </w:tblGrid>
      <w:tr w:rsidR="002837AC" w:rsidRPr="003978EC" w14:paraId="7D591BA3" w14:textId="77777777" w:rsidTr="005635AF">
        <w:trPr>
          <w:trHeight w:val="288"/>
        </w:trPr>
        <w:tc>
          <w:tcPr>
            <w:tcW w:w="895" w:type="dxa"/>
            <w:shd w:val="clear" w:color="auto" w:fill="2080B0"/>
            <w:vAlign w:val="center"/>
          </w:tcPr>
          <w:p w14:paraId="733D35E0" w14:textId="4045B722" w:rsidR="002837AC" w:rsidRPr="00536A0A" w:rsidRDefault="002837AC" w:rsidP="00860B9F">
            <w:pPr>
              <w:jc w:val="center"/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4050" w:type="dxa"/>
            <w:shd w:val="clear" w:color="auto" w:fill="2080B0"/>
            <w:vAlign w:val="center"/>
          </w:tcPr>
          <w:p w14:paraId="2E79C1A8" w14:textId="09757DF0" w:rsidR="002837AC" w:rsidRPr="00536A0A" w:rsidRDefault="00B70738" w:rsidP="00860B9F">
            <w:pPr>
              <w:jc w:val="center"/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Hazard</w:t>
            </w:r>
            <w:r w:rsidR="004F53FB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/ Problem</w:t>
            </w:r>
            <w:r w:rsidR="00531E0F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5E754A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&amp; Area</w:t>
            </w:r>
          </w:p>
        </w:tc>
        <w:tc>
          <w:tcPr>
            <w:tcW w:w="4050" w:type="dxa"/>
            <w:shd w:val="clear" w:color="auto" w:fill="2080B0"/>
            <w:vAlign w:val="center"/>
          </w:tcPr>
          <w:p w14:paraId="7994B018" w14:textId="4F9B2952" w:rsidR="002837AC" w:rsidRPr="0008187A" w:rsidRDefault="00FB02A5" w:rsidP="00F868FC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Corrective Action </w:t>
            </w:r>
          </w:p>
        </w:tc>
        <w:tc>
          <w:tcPr>
            <w:tcW w:w="1890" w:type="dxa"/>
            <w:shd w:val="clear" w:color="auto" w:fill="2080B0"/>
            <w:vAlign w:val="center"/>
          </w:tcPr>
          <w:p w14:paraId="1D0EA0A4" w14:textId="78F9C509" w:rsidR="002837AC" w:rsidRPr="0008187A" w:rsidRDefault="00546CEB" w:rsidP="00F868FC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Person Responsible</w:t>
            </w:r>
          </w:p>
        </w:tc>
        <w:tc>
          <w:tcPr>
            <w:tcW w:w="1395" w:type="dxa"/>
            <w:shd w:val="clear" w:color="auto" w:fill="2080B0"/>
            <w:vAlign w:val="center"/>
          </w:tcPr>
          <w:p w14:paraId="6A19EDC6" w14:textId="11D87952" w:rsidR="002837AC" w:rsidRPr="00A05A00" w:rsidRDefault="00546CEB" w:rsidP="00F868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Target Date</w:t>
            </w:r>
          </w:p>
        </w:tc>
        <w:tc>
          <w:tcPr>
            <w:tcW w:w="1395" w:type="dxa"/>
            <w:shd w:val="clear" w:color="auto" w:fill="2080B0"/>
            <w:vAlign w:val="center"/>
          </w:tcPr>
          <w:p w14:paraId="206FD55D" w14:textId="04986398" w:rsidR="002837AC" w:rsidRPr="00A05A00" w:rsidRDefault="00546CEB" w:rsidP="00F868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Date Completed</w:t>
            </w:r>
          </w:p>
        </w:tc>
      </w:tr>
      <w:tr w:rsidR="002837AC" w:rsidRPr="003978EC" w14:paraId="10A64096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57F6E27C" w14:textId="77777777" w:rsidR="002837AC" w:rsidRPr="0013204A" w:rsidRDefault="002837AC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4D4C3F5" w14:textId="163A5C62" w:rsidR="002837AC" w:rsidRPr="0013204A" w:rsidRDefault="002837AC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3BC1C8BD" w14:textId="77777777" w:rsidR="002837AC" w:rsidRPr="0013204A" w:rsidRDefault="002837AC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216E84FE" w14:textId="3D9C99B7" w:rsidR="002837AC" w:rsidRPr="0013204A" w:rsidRDefault="002837AC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593FBD27" w14:textId="77777777" w:rsidR="002837AC" w:rsidRPr="0013204A" w:rsidRDefault="002837AC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7873E1B1" w14:textId="22956B3D" w:rsidR="002837AC" w:rsidRPr="0013204A" w:rsidRDefault="002837AC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363ABCDC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7AD011CF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B48307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3B77BA11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7B29F58A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13BDA76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6DCB95B2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799B04A8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51F6F72A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A74F082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433B746E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5AEE8B8F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0C6CC07F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43218FEB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6399B817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2D523D60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7095D2C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4D483DE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77B5D0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02AC7910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2DAD1209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4D00C6B4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63F6EC29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2CEDE41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253112AC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6A606A8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0A5A4163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438B2B16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3D1698C7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43C8D0D4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A002139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420730C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28E6BDB9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370938FA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77DB8F5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5038F389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1498070C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7530E82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38605F14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42C518A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1340FBB8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3F057A7D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6FD9C05B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7402AD0B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5B56A8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3BC43CF8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7263C8F6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7921818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1572CAC6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2BBAEF6B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7AA0AE03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14095AA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25BA55E1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787D5847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7BB08254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3D84D3B7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  <w:tr w:rsidR="00A45D0D" w:rsidRPr="003978EC" w14:paraId="0C8D4428" w14:textId="77777777" w:rsidTr="00A45D0D">
        <w:trPr>
          <w:trHeight w:val="503"/>
        </w:trPr>
        <w:tc>
          <w:tcPr>
            <w:tcW w:w="895" w:type="dxa"/>
            <w:shd w:val="clear" w:color="auto" w:fill="auto"/>
            <w:vAlign w:val="center"/>
          </w:tcPr>
          <w:p w14:paraId="2038DCFB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0825756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vAlign w:val="center"/>
          </w:tcPr>
          <w:p w14:paraId="635D4306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0BE133A5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5986FB16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vAlign w:val="center"/>
          </w:tcPr>
          <w:p w14:paraId="2A5B5309" w14:textId="77777777" w:rsidR="00A45D0D" w:rsidRPr="0013204A" w:rsidRDefault="00A45D0D" w:rsidP="00E52DF2">
            <w:pPr>
              <w:rPr>
                <w:rFonts w:asciiTheme="majorHAnsi" w:hAnsiTheme="majorHAnsi" w:cstheme="majorHAnsi"/>
              </w:rPr>
            </w:pPr>
          </w:p>
        </w:tc>
      </w:tr>
    </w:tbl>
    <w:p w14:paraId="68C2BD69" w14:textId="4A0C5D1F" w:rsidR="00FC4849" w:rsidRPr="00531168" w:rsidRDefault="00752247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531168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531168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 w:rsidR="00567C7C"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sectPr w:rsidR="00FC4849" w:rsidRPr="00531168" w:rsidSect="00A328ED">
      <w:headerReference w:type="default" r:id="rId16"/>
      <w:footerReference w:type="default" r:id="rId1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32AB" w14:textId="77777777" w:rsidR="00382F31" w:rsidRDefault="00382F31" w:rsidP="00FD69DB">
      <w:pPr>
        <w:spacing w:after="0" w:line="240" w:lineRule="auto"/>
      </w:pPr>
      <w:r>
        <w:separator/>
      </w:r>
    </w:p>
  </w:endnote>
  <w:endnote w:type="continuationSeparator" w:id="0">
    <w:p w14:paraId="311FACF8" w14:textId="77777777" w:rsidR="00382F31" w:rsidRDefault="00382F31" w:rsidP="00FD69DB">
      <w:pPr>
        <w:spacing w:after="0" w:line="240" w:lineRule="auto"/>
      </w:pPr>
      <w:r>
        <w:continuationSeparator/>
      </w:r>
    </w:p>
  </w:endnote>
  <w:endnote w:type="continuationNotice" w:id="1">
    <w:p w14:paraId="2CC5323F" w14:textId="77777777" w:rsidR="00382F31" w:rsidRDefault="00382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9B2344" w:rsidRDefault="005F30A9" w:rsidP="00A475A6">
            <w:pPr>
              <w:pStyle w:val="Footer"/>
              <w:tabs>
                <w:tab w:val="clear" w:pos="9360"/>
                <w:tab w:val="right" w:pos="136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5B55" w14:textId="77777777" w:rsidR="00382F31" w:rsidRDefault="00382F31" w:rsidP="00FD69DB">
      <w:pPr>
        <w:spacing w:after="0" w:line="240" w:lineRule="auto"/>
      </w:pPr>
      <w:r>
        <w:separator/>
      </w:r>
    </w:p>
  </w:footnote>
  <w:footnote w:type="continuationSeparator" w:id="0">
    <w:p w14:paraId="7057184D" w14:textId="77777777" w:rsidR="00382F31" w:rsidRDefault="00382F31" w:rsidP="00FD69DB">
      <w:pPr>
        <w:spacing w:after="0" w:line="240" w:lineRule="auto"/>
      </w:pPr>
      <w:r>
        <w:continuationSeparator/>
      </w:r>
    </w:p>
  </w:footnote>
  <w:footnote w:type="continuationNotice" w:id="1">
    <w:p w14:paraId="7FE9F1A5" w14:textId="77777777" w:rsidR="00382F31" w:rsidRDefault="00382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157FA"/>
    <w:rsid w:val="00022E4E"/>
    <w:rsid w:val="000260DC"/>
    <w:rsid w:val="00026B11"/>
    <w:rsid w:val="00031736"/>
    <w:rsid w:val="000363F0"/>
    <w:rsid w:val="00036F9D"/>
    <w:rsid w:val="000405EE"/>
    <w:rsid w:val="00040810"/>
    <w:rsid w:val="00046A64"/>
    <w:rsid w:val="000513C9"/>
    <w:rsid w:val="00054C5F"/>
    <w:rsid w:val="000551D0"/>
    <w:rsid w:val="00055707"/>
    <w:rsid w:val="000627E9"/>
    <w:rsid w:val="00066360"/>
    <w:rsid w:val="0007067C"/>
    <w:rsid w:val="0007221C"/>
    <w:rsid w:val="000724FF"/>
    <w:rsid w:val="00074F39"/>
    <w:rsid w:val="0008187A"/>
    <w:rsid w:val="00086FD0"/>
    <w:rsid w:val="00091049"/>
    <w:rsid w:val="00092815"/>
    <w:rsid w:val="000A488E"/>
    <w:rsid w:val="000A6E43"/>
    <w:rsid w:val="000B3631"/>
    <w:rsid w:val="000C6C2D"/>
    <w:rsid w:val="000D4E1A"/>
    <w:rsid w:val="000E4247"/>
    <w:rsid w:val="001112A7"/>
    <w:rsid w:val="00117952"/>
    <w:rsid w:val="00120321"/>
    <w:rsid w:val="00121EA6"/>
    <w:rsid w:val="00124EA5"/>
    <w:rsid w:val="0013141D"/>
    <w:rsid w:val="0013204A"/>
    <w:rsid w:val="001331A1"/>
    <w:rsid w:val="00136D90"/>
    <w:rsid w:val="00136EBD"/>
    <w:rsid w:val="0013780F"/>
    <w:rsid w:val="00142AA7"/>
    <w:rsid w:val="00143F64"/>
    <w:rsid w:val="00154CEC"/>
    <w:rsid w:val="001578A6"/>
    <w:rsid w:val="00162856"/>
    <w:rsid w:val="0017065F"/>
    <w:rsid w:val="001738B6"/>
    <w:rsid w:val="00174BAF"/>
    <w:rsid w:val="001758A0"/>
    <w:rsid w:val="001A06B6"/>
    <w:rsid w:val="001B0C4E"/>
    <w:rsid w:val="001B1A94"/>
    <w:rsid w:val="001B31CA"/>
    <w:rsid w:val="001B7051"/>
    <w:rsid w:val="001C4B2A"/>
    <w:rsid w:val="001C72FE"/>
    <w:rsid w:val="001D4A4B"/>
    <w:rsid w:val="001D4D19"/>
    <w:rsid w:val="001E052C"/>
    <w:rsid w:val="001E251A"/>
    <w:rsid w:val="001E656E"/>
    <w:rsid w:val="001E76A4"/>
    <w:rsid w:val="001F1781"/>
    <w:rsid w:val="001F18A9"/>
    <w:rsid w:val="001F2293"/>
    <w:rsid w:val="001F7F5B"/>
    <w:rsid w:val="00203E15"/>
    <w:rsid w:val="002042F1"/>
    <w:rsid w:val="0020491B"/>
    <w:rsid w:val="00212BC4"/>
    <w:rsid w:val="00222779"/>
    <w:rsid w:val="00225BBC"/>
    <w:rsid w:val="00230078"/>
    <w:rsid w:val="002425D8"/>
    <w:rsid w:val="0025076C"/>
    <w:rsid w:val="00261337"/>
    <w:rsid w:val="00264FFD"/>
    <w:rsid w:val="00265217"/>
    <w:rsid w:val="00265EA4"/>
    <w:rsid w:val="00277ECF"/>
    <w:rsid w:val="002837AC"/>
    <w:rsid w:val="00285E57"/>
    <w:rsid w:val="00286A55"/>
    <w:rsid w:val="00290D44"/>
    <w:rsid w:val="0029555F"/>
    <w:rsid w:val="002A4179"/>
    <w:rsid w:val="002B342B"/>
    <w:rsid w:val="002C51CD"/>
    <w:rsid w:val="002C7A67"/>
    <w:rsid w:val="002D324A"/>
    <w:rsid w:val="002D797A"/>
    <w:rsid w:val="002E1F31"/>
    <w:rsid w:val="002F603C"/>
    <w:rsid w:val="002F6C1A"/>
    <w:rsid w:val="002F6FB1"/>
    <w:rsid w:val="00300660"/>
    <w:rsid w:val="003008C6"/>
    <w:rsid w:val="0031681B"/>
    <w:rsid w:val="00320620"/>
    <w:rsid w:val="00324E10"/>
    <w:rsid w:val="003264CB"/>
    <w:rsid w:val="003307CD"/>
    <w:rsid w:val="00330D19"/>
    <w:rsid w:val="00331D91"/>
    <w:rsid w:val="0033528B"/>
    <w:rsid w:val="003359F0"/>
    <w:rsid w:val="00340656"/>
    <w:rsid w:val="0034527E"/>
    <w:rsid w:val="003500A6"/>
    <w:rsid w:val="00352329"/>
    <w:rsid w:val="003622B1"/>
    <w:rsid w:val="003628CD"/>
    <w:rsid w:val="00366010"/>
    <w:rsid w:val="003728B2"/>
    <w:rsid w:val="00377F2C"/>
    <w:rsid w:val="00382F31"/>
    <w:rsid w:val="003847F3"/>
    <w:rsid w:val="0038562E"/>
    <w:rsid w:val="003957E4"/>
    <w:rsid w:val="003978EC"/>
    <w:rsid w:val="003A40A0"/>
    <w:rsid w:val="003A4671"/>
    <w:rsid w:val="003A5210"/>
    <w:rsid w:val="003B3284"/>
    <w:rsid w:val="003B49D5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E0493"/>
    <w:rsid w:val="003E11B7"/>
    <w:rsid w:val="003E2AC9"/>
    <w:rsid w:val="003E7A28"/>
    <w:rsid w:val="003F75D6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25D6"/>
    <w:rsid w:val="00444D8D"/>
    <w:rsid w:val="004472AF"/>
    <w:rsid w:val="00451318"/>
    <w:rsid w:val="00453655"/>
    <w:rsid w:val="00453B6B"/>
    <w:rsid w:val="00457BB8"/>
    <w:rsid w:val="00460979"/>
    <w:rsid w:val="00463A17"/>
    <w:rsid w:val="00463E39"/>
    <w:rsid w:val="00472BCA"/>
    <w:rsid w:val="00476FAF"/>
    <w:rsid w:val="00480EC3"/>
    <w:rsid w:val="0048507A"/>
    <w:rsid w:val="00487C83"/>
    <w:rsid w:val="0049075A"/>
    <w:rsid w:val="00493164"/>
    <w:rsid w:val="004A0037"/>
    <w:rsid w:val="004A552D"/>
    <w:rsid w:val="004A579D"/>
    <w:rsid w:val="004A57A7"/>
    <w:rsid w:val="004B25ED"/>
    <w:rsid w:val="004B33F5"/>
    <w:rsid w:val="004B3DF1"/>
    <w:rsid w:val="004C5859"/>
    <w:rsid w:val="004C692C"/>
    <w:rsid w:val="004D0866"/>
    <w:rsid w:val="004D434F"/>
    <w:rsid w:val="004E0246"/>
    <w:rsid w:val="004F2BEA"/>
    <w:rsid w:val="004F3E39"/>
    <w:rsid w:val="004F4A83"/>
    <w:rsid w:val="004F53FB"/>
    <w:rsid w:val="004F5C2E"/>
    <w:rsid w:val="004F7E89"/>
    <w:rsid w:val="00500333"/>
    <w:rsid w:val="0050053A"/>
    <w:rsid w:val="00504383"/>
    <w:rsid w:val="005049E6"/>
    <w:rsid w:val="00505971"/>
    <w:rsid w:val="005104D5"/>
    <w:rsid w:val="00510630"/>
    <w:rsid w:val="00521152"/>
    <w:rsid w:val="00521C08"/>
    <w:rsid w:val="00525878"/>
    <w:rsid w:val="00531168"/>
    <w:rsid w:val="00531E0F"/>
    <w:rsid w:val="005326C9"/>
    <w:rsid w:val="00533A67"/>
    <w:rsid w:val="00533E3E"/>
    <w:rsid w:val="00536A0A"/>
    <w:rsid w:val="005374B7"/>
    <w:rsid w:val="00544404"/>
    <w:rsid w:val="00545F88"/>
    <w:rsid w:val="00546CEB"/>
    <w:rsid w:val="005635AF"/>
    <w:rsid w:val="00565ABF"/>
    <w:rsid w:val="00567847"/>
    <w:rsid w:val="00567C7C"/>
    <w:rsid w:val="0057371F"/>
    <w:rsid w:val="0057486D"/>
    <w:rsid w:val="00576F95"/>
    <w:rsid w:val="00590FC0"/>
    <w:rsid w:val="00595326"/>
    <w:rsid w:val="005A004D"/>
    <w:rsid w:val="005A3675"/>
    <w:rsid w:val="005A4D8C"/>
    <w:rsid w:val="005A4E53"/>
    <w:rsid w:val="005B10CD"/>
    <w:rsid w:val="005C65A2"/>
    <w:rsid w:val="005D2CEF"/>
    <w:rsid w:val="005D41B6"/>
    <w:rsid w:val="005D5874"/>
    <w:rsid w:val="005D6E63"/>
    <w:rsid w:val="005E3698"/>
    <w:rsid w:val="005E376A"/>
    <w:rsid w:val="005E754A"/>
    <w:rsid w:val="005F04A8"/>
    <w:rsid w:val="005F30A9"/>
    <w:rsid w:val="005F30DC"/>
    <w:rsid w:val="005F5499"/>
    <w:rsid w:val="005F775C"/>
    <w:rsid w:val="00602ED7"/>
    <w:rsid w:val="0060450E"/>
    <w:rsid w:val="00606B91"/>
    <w:rsid w:val="0061545E"/>
    <w:rsid w:val="0062144D"/>
    <w:rsid w:val="00631F67"/>
    <w:rsid w:val="006335AD"/>
    <w:rsid w:val="0063531F"/>
    <w:rsid w:val="00641EFF"/>
    <w:rsid w:val="00641F8F"/>
    <w:rsid w:val="0065089D"/>
    <w:rsid w:val="00655E45"/>
    <w:rsid w:val="00656A8C"/>
    <w:rsid w:val="00656FCC"/>
    <w:rsid w:val="00663DDE"/>
    <w:rsid w:val="00674F34"/>
    <w:rsid w:val="0068137D"/>
    <w:rsid w:val="006832A9"/>
    <w:rsid w:val="006872C4"/>
    <w:rsid w:val="006972D4"/>
    <w:rsid w:val="006A07D2"/>
    <w:rsid w:val="006B3C94"/>
    <w:rsid w:val="006B439C"/>
    <w:rsid w:val="006B44A6"/>
    <w:rsid w:val="006B6F85"/>
    <w:rsid w:val="006C58B3"/>
    <w:rsid w:val="006D0EBA"/>
    <w:rsid w:val="006D1E0D"/>
    <w:rsid w:val="006D311A"/>
    <w:rsid w:val="006D55A4"/>
    <w:rsid w:val="006D612E"/>
    <w:rsid w:val="006D734E"/>
    <w:rsid w:val="006E042F"/>
    <w:rsid w:val="006E36AD"/>
    <w:rsid w:val="006E3B40"/>
    <w:rsid w:val="006E7730"/>
    <w:rsid w:val="006F3347"/>
    <w:rsid w:val="007102A8"/>
    <w:rsid w:val="0071322E"/>
    <w:rsid w:val="00723ACD"/>
    <w:rsid w:val="00726EE7"/>
    <w:rsid w:val="00742880"/>
    <w:rsid w:val="00745E39"/>
    <w:rsid w:val="00752247"/>
    <w:rsid w:val="00757AEB"/>
    <w:rsid w:val="0076397C"/>
    <w:rsid w:val="0076424F"/>
    <w:rsid w:val="00766C70"/>
    <w:rsid w:val="007761C4"/>
    <w:rsid w:val="00776387"/>
    <w:rsid w:val="00783219"/>
    <w:rsid w:val="00785B9B"/>
    <w:rsid w:val="00790060"/>
    <w:rsid w:val="00791330"/>
    <w:rsid w:val="0079385C"/>
    <w:rsid w:val="007B08AF"/>
    <w:rsid w:val="007B0D2A"/>
    <w:rsid w:val="007B1B0A"/>
    <w:rsid w:val="007C47FB"/>
    <w:rsid w:val="007C6AA9"/>
    <w:rsid w:val="007C6C1D"/>
    <w:rsid w:val="007D12C9"/>
    <w:rsid w:val="007D2EF0"/>
    <w:rsid w:val="007F2825"/>
    <w:rsid w:val="007F5565"/>
    <w:rsid w:val="008102D0"/>
    <w:rsid w:val="008112EC"/>
    <w:rsid w:val="00813E05"/>
    <w:rsid w:val="00814EFD"/>
    <w:rsid w:val="0082231C"/>
    <w:rsid w:val="0082482D"/>
    <w:rsid w:val="00836409"/>
    <w:rsid w:val="008365E3"/>
    <w:rsid w:val="00853F2C"/>
    <w:rsid w:val="00856512"/>
    <w:rsid w:val="008573E7"/>
    <w:rsid w:val="008574EF"/>
    <w:rsid w:val="00857BDD"/>
    <w:rsid w:val="00857CAC"/>
    <w:rsid w:val="00860B9F"/>
    <w:rsid w:val="00861627"/>
    <w:rsid w:val="00863D7B"/>
    <w:rsid w:val="0086616F"/>
    <w:rsid w:val="008701E1"/>
    <w:rsid w:val="008727DF"/>
    <w:rsid w:val="008770CD"/>
    <w:rsid w:val="00883AA2"/>
    <w:rsid w:val="0089174C"/>
    <w:rsid w:val="0089376A"/>
    <w:rsid w:val="008968ED"/>
    <w:rsid w:val="008A586F"/>
    <w:rsid w:val="008A7F8B"/>
    <w:rsid w:val="008B02E9"/>
    <w:rsid w:val="008B1AEB"/>
    <w:rsid w:val="008C0249"/>
    <w:rsid w:val="008C4570"/>
    <w:rsid w:val="008D0834"/>
    <w:rsid w:val="008D244C"/>
    <w:rsid w:val="008D5C28"/>
    <w:rsid w:val="008D6E67"/>
    <w:rsid w:val="008E4E66"/>
    <w:rsid w:val="008F1B2E"/>
    <w:rsid w:val="008F5CA7"/>
    <w:rsid w:val="00900C01"/>
    <w:rsid w:val="00902687"/>
    <w:rsid w:val="00903A81"/>
    <w:rsid w:val="0090636E"/>
    <w:rsid w:val="009146D5"/>
    <w:rsid w:val="00923C43"/>
    <w:rsid w:val="00927133"/>
    <w:rsid w:val="009271A9"/>
    <w:rsid w:val="00930F2F"/>
    <w:rsid w:val="009339E5"/>
    <w:rsid w:val="009403E1"/>
    <w:rsid w:val="0094043E"/>
    <w:rsid w:val="00942628"/>
    <w:rsid w:val="009524A8"/>
    <w:rsid w:val="00953A6B"/>
    <w:rsid w:val="00956DEB"/>
    <w:rsid w:val="00966EAB"/>
    <w:rsid w:val="00967D18"/>
    <w:rsid w:val="009808DF"/>
    <w:rsid w:val="00980959"/>
    <w:rsid w:val="00986938"/>
    <w:rsid w:val="009A01D1"/>
    <w:rsid w:val="009A0CAD"/>
    <w:rsid w:val="009A1435"/>
    <w:rsid w:val="009A4897"/>
    <w:rsid w:val="009A6242"/>
    <w:rsid w:val="009B1876"/>
    <w:rsid w:val="009B2344"/>
    <w:rsid w:val="009B37F9"/>
    <w:rsid w:val="009C00A5"/>
    <w:rsid w:val="009C473B"/>
    <w:rsid w:val="009D0AF6"/>
    <w:rsid w:val="009E13EE"/>
    <w:rsid w:val="009E2C87"/>
    <w:rsid w:val="009F7B57"/>
    <w:rsid w:val="00A012FA"/>
    <w:rsid w:val="00A03507"/>
    <w:rsid w:val="00A03FBF"/>
    <w:rsid w:val="00A05A00"/>
    <w:rsid w:val="00A3271E"/>
    <w:rsid w:val="00A328ED"/>
    <w:rsid w:val="00A45D0D"/>
    <w:rsid w:val="00A46F4F"/>
    <w:rsid w:val="00A475A6"/>
    <w:rsid w:val="00A509BA"/>
    <w:rsid w:val="00A52674"/>
    <w:rsid w:val="00A62266"/>
    <w:rsid w:val="00A63724"/>
    <w:rsid w:val="00A70AFD"/>
    <w:rsid w:val="00A82F6F"/>
    <w:rsid w:val="00A85579"/>
    <w:rsid w:val="00AA0A92"/>
    <w:rsid w:val="00AB41A8"/>
    <w:rsid w:val="00AB5A4B"/>
    <w:rsid w:val="00AC259B"/>
    <w:rsid w:val="00AD3CDB"/>
    <w:rsid w:val="00AD7F87"/>
    <w:rsid w:val="00AE0490"/>
    <w:rsid w:val="00AE5845"/>
    <w:rsid w:val="00AE5A8F"/>
    <w:rsid w:val="00AE6CB1"/>
    <w:rsid w:val="00AF1DF9"/>
    <w:rsid w:val="00B01793"/>
    <w:rsid w:val="00B04807"/>
    <w:rsid w:val="00B13CEB"/>
    <w:rsid w:val="00B147C2"/>
    <w:rsid w:val="00B16488"/>
    <w:rsid w:val="00B21A98"/>
    <w:rsid w:val="00B22C03"/>
    <w:rsid w:val="00B23293"/>
    <w:rsid w:val="00B26E0B"/>
    <w:rsid w:val="00B26EA1"/>
    <w:rsid w:val="00B31002"/>
    <w:rsid w:val="00B32977"/>
    <w:rsid w:val="00B32F40"/>
    <w:rsid w:val="00B3669A"/>
    <w:rsid w:val="00B37095"/>
    <w:rsid w:val="00B41A92"/>
    <w:rsid w:val="00B42B70"/>
    <w:rsid w:val="00B464DB"/>
    <w:rsid w:val="00B51F60"/>
    <w:rsid w:val="00B5740B"/>
    <w:rsid w:val="00B61176"/>
    <w:rsid w:val="00B61190"/>
    <w:rsid w:val="00B70738"/>
    <w:rsid w:val="00B74F43"/>
    <w:rsid w:val="00B77955"/>
    <w:rsid w:val="00B77E2E"/>
    <w:rsid w:val="00B84B6E"/>
    <w:rsid w:val="00B930D6"/>
    <w:rsid w:val="00B96C0D"/>
    <w:rsid w:val="00BA2B4E"/>
    <w:rsid w:val="00BA75C5"/>
    <w:rsid w:val="00BB76D3"/>
    <w:rsid w:val="00BC1EB3"/>
    <w:rsid w:val="00BC589B"/>
    <w:rsid w:val="00BC596E"/>
    <w:rsid w:val="00BD08C2"/>
    <w:rsid w:val="00BD271D"/>
    <w:rsid w:val="00BD2D1A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7B41"/>
    <w:rsid w:val="00C5375C"/>
    <w:rsid w:val="00C73331"/>
    <w:rsid w:val="00C92334"/>
    <w:rsid w:val="00C92C65"/>
    <w:rsid w:val="00C93217"/>
    <w:rsid w:val="00C94844"/>
    <w:rsid w:val="00C95106"/>
    <w:rsid w:val="00CA00C9"/>
    <w:rsid w:val="00CA2B4B"/>
    <w:rsid w:val="00CA71B0"/>
    <w:rsid w:val="00CB2BE6"/>
    <w:rsid w:val="00CB38F0"/>
    <w:rsid w:val="00CC149A"/>
    <w:rsid w:val="00CD2B4D"/>
    <w:rsid w:val="00CD327D"/>
    <w:rsid w:val="00CD7712"/>
    <w:rsid w:val="00CF0526"/>
    <w:rsid w:val="00CF0D36"/>
    <w:rsid w:val="00CF268E"/>
    <w:rsid w:val="00CF2F64"/>
    <w:rsid w:val="00CF43C1"/>
    <w:rsid w:val="00CF6103"/>
    <w:rsid w:val="00CF7E9F"/>
    <w:rsid w:val="00D06150"/>
    <w:rsid w:val="00D10402"/>
    <w:rsid w:val="00D15A34"/>
    <w:rsid w:val="00D173BD"/>
    <w:rsid w:val="00D17414"/>
    <w:rsid w:val="00D20352"/>
    <w:rsid w:val="00D31EEF"/>
    <w:rsid w:val="00D35761"/>
    <w:rsid w:val="00D3625E"/>
    <w:rsid w:val="00D3722F"/>
    <w:rsid w:val="00D41096"/>
    <w:rsid w:val="00D470BA"/>
    <w:rsid w:val="00D500CF"/>
    <w:rsid w:val="00D5114B"/>
    <w:rsid w:val="00D530BD"/>
    <w:rsid w:val="00D6089D"/>
    <w:rsid w:val="00D622DE"/>
    <w:rsid w:val="00D630FF"/>
    <w:rsid w:val="00D6619E"/>
    <w:rsid w:val="00D727DD"/>
    <w:rsid w:val="00D83F1E"/>
    <w:rsid w:val="00D85087"/>
    <w:rsid w:val="00D85578"/>
    <w:rsid w:val="00D85DD5"/>
    <w:rsid w:val="00D918D7"/>
    <w:rsid w:val="00D91C65"/>
    <w:rsid w:val="00D94161"/>
    <w:rsid w:val="00D94693"/>
    <w:rsid w:val="00D94D82"/>
    <w:rsid w:val="00D97B3E"/>
    <w:rsid w:val="00DA00A3"/>
    <w:rsid w:val="00DA4005"/>
    <w:rsid w:val="00DB4C14"/>
    <w:rsid w:val="00DC0667"/>
    <w:rsid w:val="00DC0A5D"/>
    <w:rsid w:val="00DC466F"/>
    <w:rsid w:val="00DC5C38"/>
    <w:rsid w:val="00DC7F25"/>
    <w:rsid w:val="00DD0D01"/>
    <w:rsid w:val="00DD3999"/>
    <w:rsid w:val="00DD6117"/>
    <w:rsid w:val="00DE7D2E"/>
    <w:rsid w:val="00DF14E7"/>
    <w:rsid w:val="00DF475A"/>
    <w:rsid w:val="00E0088A"/>
    <w:rsid w:val="00E02FF4"/>
    <w:rsid w:val="00E04CC8"/>
    <w:rsid w:val="00E13F42"/>
    <w:rsid w:val="00E23801"/>
    <w:rsid w:val="00E26284"/>
    <w:rsid w:val="00E27CE1"/>
    <w:rsid w:val="00E423A5"/>
    <w:rsid w:val="00E456C0"/>
    <w:rsid w:val="00E52DF2"/>
    <w:rsid w:val="00E536C9"/>
    <w:rsid w:val="00E54943"/>
    <w:rsid w:val="00E54C7F"/>
    <w:rsid w:val="00E6026A"/>
    <w:rsid w:val="00E606E2"/>
    <w:rsid w:val="00E6245C"/>
    <w:rsid w:val="00E70371"/>
    <w:rsid w:val="00E818D3"/>
    <w:rsid w:val="00EA0621"/>
    <w:rsid w:val="00EA3A9C"/>
    <w:rsid w:val="00EA44A4"/>
    <w:rsid w:val="00EA5173"/>
    <w:rsid w:val="00EB1D64"/>
    <w:rsid w:val="00ED3D8E"/>
    <w:rsid w:val="00EE28BF"/>
    <w:rsid w:val="00EF6203"/>
    <w:rsid w:val="00EF65CD"/>
    <w:rsid w:val="00EF7986"/>
    <w:rsid w:val="00F03D90"/>
    <w:rsid w:val="00F050F6"/>
    <w:rsid w:val="00F0668C"/>
    <w:rsid w:val="00F12083"/>
    <w:rsid w:val="00F31E6C"/>
    <w:rsid w:val="00F34AC5"/>
    <w:rsid w:val="00F434A0"/>
    <w:rsid w:val="00F459C5"/>
    <w:rsid w:val="00F5547C"/>
    <w:rsid w:val="00F5553A"/>
    <w:rsid w:val="00F61EEB"/>
    <w:rsid w:val="00F75A57"/>
    <w:rsid w:val="00F81DFD"/>
    <w:rsid w:val="00F86208"/>
    <w:rsid w:val="00F868FC"/>
    <w:rsid w:val="00F86930"/>
    <w:rsid w:val="00F9061F"/>
    <w:rsid w:val="00F91F82"/>
    <w:rsid w:val="00F9411A"/>
    <w:rsid w:val="00F97441"/>
    <w:rsid w:val="00F97FDC"/>
    <w:rsid w:val="00FA372F"/>
    <w:rsid w:val="00FA4D0D"/>
    <w:rsid w:val="00FB02A5"/>
    <w:rsid w:val="00FB2ABC"/>
    <w:rsid w:val="00FB461E"/>
    <w:rsid w:val="00FB5E60"/>
    <w:rsid w:val="00FB788B"/>
    <w:rsid w:val="00FB7BF8"/>
    <w:rsid w:val="00FC1620"/>
    <w:rsid w:val="00FC3481"/>
    <w:rsid w:val="00FC4849"/>
    <w:rsid w:val="00FD1E7E"/>
    <w:rsid w:val="00FD23D9"/>
    <w:rsid w:val="00FD5A9E"/>
    <w:rsid w:val="00FD69DB"/>
    <w:rsid w:val="00FE0FB9"/>
    <w:rsid w:val="00FE143D"/>
    <w:rsid w:val="00FE6956"/>
    <w:rsid w:val="00FE6CFA"/>
    <w:rsid w:val="00FF404A"/>
    <w:rsid w:val="10365247"/>
    <w:rsid w:val="1769F12E"/>
    <w:rsid w:val="1F3F8C02"/>
    <w:rsid w:val="22CC2F54"/>
    <w:rsid w:val="275B241D"/>
    <w:rsid w:val="2813F2C8"/>
    <w:rsid w:val="334366AE"/>
    <w:rsid w:val="426E5734"/>
    <w:rsid w:val="4479BE26"/>
    <w:rsid w:val="46158E87"/>
    <w:rsid w:val="519C092D"/>
    <w:rsid w:val="5A5785E4"/>
    <w:rsid w:val="5B5AC433"/>
    <w:rsid w:val="5BA763B3"/>
    <w:rsid w:val="5CA2E15B"/>
    <w:rsid w:val="60ED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7FEF99D9-F232-43E3-BD0A-6ED95EF3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Props1.xml><?xml version="1.0" encoding="utf-8"?>
<ds:datastoreItem xmlns:ds="http://schemas.openxmlformats.org/officeDocument/2006/customXml" ds:itemID="{963ED0D0-21C5-4722-B381-C961373A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906e2fb6-2c21-4f05-a170-f281e6766d32"/>
    <ds:schemaRef ds:uri="http://purl.org/dc/terms/"/>
    <ds:schemaRef ds:uri="http://schemas.microsoft.com/office/2006/documentManagement/types"/>
    <ds:schemaRef ds:uri="http://schemas.microsoft.com/office/infopath/2007/PartnerControls"/>
    <ds:schemaRef ds:uri="66ef301f-53ff-4fec-8744-b2cf5be70e6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Links>
    <vt:vector size="18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165</cp:revision>
  <dcterms:created xsi:type="dcterms:W3CDTF">2022-09-01T20:22:00Z</dcterms:created>
  <dcterms:modified xsi:type="dcterms:W3CDTF">2025-05-05T16:50:00Z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