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ED0A" w14:textId="77777777" w:rsidR="0013780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6D4B7A5E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632D4" w14:textId="2526034C" w:rsidR="006D734E" w:rsidRPr="00476FAF" w:rsidRDefault="004137FD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Potential emergency Worksheet</w:t>
      </w:r>
    </w:p>
    <w:p w14:paraId="3A33AB78" w14:textId="17C6AF04" w:rsidR="00FB5E60" w:rsidRDefault="005336D9" w:rsidP="00FD69DB">
      <w:pPr>
        <w:spacing w:after="0" w:line="240" w:lineRule="auto"/>
        <w:rPr>
          <w:rFonts w:ascii="Avenir Next LT Pro Light" w:hAnsi="Avenir Next LT Pro Light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C34FD4D" wp14:editId="57E64C70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6388100" cy="1404620"/>
                <wp:effectExtent l="0" t="0" r="1270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82CC" w14:textId="1FA67C5D" w:rsidR="005336D9" w:rsidRPr="006E042F" w:rsidRDefault="007C779C" w:rsidP="005336D9">
                            <w:pPr>
                              <w:spacing w:after="0" w:line="240" w:lineRule="auto"/>
                              <w:jc w:val="both"/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</w:t>
                            </w:r>
                            <w:r w:rsidR="005336D9" w:rsidRPr="00476FAF">
                              <w:rPr>
                                <w:rFonts w:ascii="Avenir Next LT Pro Light" w:hAnsi="Avenir Next LT Pro Light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5336D9" w:rsidRPr="006E04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13CC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Use the </w:t>
                            </w:r>
                            <w:r w:rsidR="00585442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Emergency Level Chart and Likelihood Chart found in the AgSafe Alberta FarmSafe Plan Manual to help you </w:t>
                            </w:r>
                            <w:r w:rsidR="00FF53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determine the Emergency Level and Likelihood. 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Consider</w:t>
                            </w:r>
                            <w:r w:rsidR="00FF53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e</w:t>
                            </w:r>
                            <w:r w:rsidR="00FF53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mergency 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l</w:t>
                            </w:r>
                            <w:r w:rsidR="00FF53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evel, 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l</w:t>
                            </w:r>
                            <w:r w:rsidR="00FF532F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ikelihood, 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and whether </w:t>
                            </w:r>
                            <w:r w:rsidR="00372941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>the emergency</w:t>
                            </w:r>
                            <w:r w:rsidR="002C795B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 has happened before on your farm to </w:t>
                            </w:r>
                            <w:r w:rsidR="00536F74">
                              <w:rPr>
                                <w:rFonts w:ascii="Avenir Next LT Pro Light" w:hAnsi="Avenir Next LT Pro Light"/>
                                <w:sz w:val="16"/>
                                <w:szCs w:val="16"/>
                              </w:rPr>
                              <w:t xml:space="preserve">help you prioritize which emergency action plans to begin working on first.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34FD4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17.1pt;width:50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" filled="f" strokecolor="#7ab800">
                <v:stroke dashstyle="dash"/>
                <v:textbox style="mso-fit-shape-to-text:t">
                  <w:txbxContent>
                    <w:p w14:paraId="3BA082CC" w14:textId="1FA67C5D" w:rsidR="005336D9" w:rsidRPr="006E042F" w:rsidRDefault="007C779C" w:rsidP="005336D9">
                      <w:pPr>
                        <w:spacing w:after="0" w:line="240" w:lineRule="auto"/>
                        <w:jc w:val="both"/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</w:pPr>
                      <w:r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Helpful Information</w:t>
                      </w:r>
                      <w:r w:rsidR="005336D9" w:rsidRPr="00476FAF">
                        <w:rPr>
                          <w:rFonts w:ascii="Avenir Next LT Pro Light" w:hAnsi="Avenir Next LT Pro Light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5336D9" w:rsidRPr="006E04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</w:t>
                      </w:r>
                      <w:r w:rsidR="00D13CC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Use the </w:t>
                      </w:r>
                      <w:r w:rsidR="00585442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Emergency Level Chart and Likelihood Chart found in the AgSafe Alberta FarmSafe Plan Manual to help you </w:t>
                      </w:r>
                      <w:r w:rsidR="00FF53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determine the Emergency Level and Likelihood. 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Consider</w:t>
                      </w:r>
                      <w:r w:rsidR="00FF53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the 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e</w:t>
                      </w:r>
                      <w:r w:rsidR="00FF53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mergency 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l</w:t>
                      </w:r>
                      <w:r w:rsidR="00FF53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evel, 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l</w:t>
                      </w:r>
                      <w:r w:rsidR="00FF532F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ikelihood, 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and whether </w:t>
                      </w:r>
                      <w:r w:rsidR="00372941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>the emergency</w:t>
                      </w:r>
                      <w:r w:rsidR="002C795B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 has happened before on your farm to </w:t>
                      </w:r>
                      <w:r w:rsidR="00536F74">
                        <w:rPr>
                          <w:rFonts w:ascii="Avenir Next LT Pro Light" w:hAnsi="Avenir Next LT Pro Light"/>
                          <w:sz w:val="16"/>
                          <w:szCs w:val="16"/>
                        </w:rPr>
                        <w:t xml:space="preserve">help you prioritize which emergency action plans to begin working on first.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FAA2E" w14:textId="77777777" w:rsidR="005336D9" w:rsidRPr="00814EFD" w:rsidRDefault="005336D9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1890"/>
        <w:gridCol w:w="2425"/>
      </w:tblGrid>
      <w:tr w:rsidR="005F5499" w:rsidRPr="003978EC" w14:paraId="756CB1D1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229950CF" w14:textId="226A9252" w:rsidR="005F5499" w:rsidRPr="00531168" w:rsidRDefault="00013FC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</w:t>
            </w:r>
            <w:r w:rsidR="00230078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Name</w:t>
            </w:r>
          </w:p>
        </w:tc>
        <w:tc>
          <w:tcPr>
            <w:tcW w:w="4050" w:type="dxa"/>
            <w:vAlign w:val="center"/>
          </w:tcPr>
          <w:p w14:paraId="6EBDC9B9" w14:textId="02F0DA09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01F0A4B7" w14:textId="3BF3C819" w:rsidR="005F5499" w:rsidRPr="00531168" w:rsidRDefault="00013FC8" w:rsidP="00FD69DB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07EBA02E" w14:textId="23CFD4C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5F5499" w:rsidRPr="003978EC" w14:paraId="685BB015" w14:textId="77777777" w:rsidTr="00531168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5EE9D18" w14:textId="07226E81" w:rsidR="005F5499" w:rsidRPr="00531168" w:rsidRDefault="00013FC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Work Area</w:t>
            </w:r>
          </w:p>
        </w:tc>
        <w:tc>
          <w:tcPr>
            <w:tcW w:w="4050" w:type="dxa"/>
            <w:vAlign w:val="center"/>
          </w:tcPr>
          <w:p w14:paraId="0E0D8E4B" w14:textId="6CE93693" w:rsidR="005F5499" w:rsidRPr="00A05A00" w:rsidRDefault="005F5499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2080B0"/>
            <w:vAlign w:val="center"/>
          </w:tcPr>
          <w:p w14:paraId="39188E4A" w14:textId="51FDB2DF" w:rsidR="005F5499" w:rsidRPr="00531168" w:rsidRDefault="00230078" w:rsidP="00FD69DB">
            <w:pPr>
              <w:rPr>
                <w:rFonts w:ascii="Avenir Next LT Pro Light" w:hAnsi="Avenir Next LT Pro Light"/>
                <w:b/>
                <w:bCs/>
                <w:caps/>
                <w:color w:val="FFFFFF" w:themeColor="background1"/>
                <w:sz w:val="18"/>
                <w:szCs w:val="18"/>
              </w:rPr>
            </w:pPr>
            <w:r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Date of </w:t>
            </w:r>
            <w:r w:rsidR="00AD310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Review</w:t>
            </w:r>
          </w:p>
        </w:tc>
        <w:tc>
          <w:tcPr>
            <w:tcW w:w="2425" w:type="dxa"/>
            <w:vAlign w:val="center"/>
          </w:tcPr>
          <w:p w14:paraId="7E178BD0" w14:textId="7721FF86" w:rsidR="005F5499" w:rsidRPr="00A05A00" w:rsidRDefault="005F5499" w:rsidP="00FD69DB">
            <w:pPr>
              <w:rPr>
                <w:rFonts w:asciiTheme="majorHAnsi" w:hAnsiTheme="majorHAnsi" w:cstheme="majorHAnsi"/>
                <w:caps/>
              </w:rPr>
            </w:pPr>
          </w:p>
        </w:tc>
      </w:tr>
    </w:tbl>
    <w:p w14:paraId="2B41DEE1" w14:textId="77777777" w:rsidR="004C692C" w:rsidRPr="003978EC" w:rsidRDefault="004C692C" w:rsidP="00FD69DB">
      <w:pPr>
        <w:spacing w:after="0" w:line="240" w:lineRule="auto"/>
        <w:rPr>
          <w:rFonts w:ascii="Avenir Next LT Pro Light" w:hAnsi="Avenir Next LT Pro Light"/>
          <w:caps/>
          <w:sz w:val="18"/>
          <w:szCs w:val="1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5"/>
        <w:gridCol w:w="1326"/>
        <w:gridCol w:w="1326"/>
        <w:gridCol w:w="1326"/>
        <w:gridCol w:w="1327"/>
      </w:tblGrid>
      <w:tr w:rsidR="006B4DEE" w:rsidRPr="008727DF" w14:paraId="2F3015A9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2080B0"/>
            <w:vAlign w:val="center"/>
          </w:tcPr>
          <w:p w14:paraId="52561903" w14:textId="2C646C9B" w:rsidR="006B4DEE" w:rsidRPr="00531168" w:rsidRDefault="006B4DEE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</w:t>
            </w:r>
          </w:p>
        </w:tc>
        <w:tc>
          <w:tcPr>
            <w:tcW w:w="1326" w:type="dxa"/>
            <w:shd w:val="clear" w:color="auto" w:fill="2080B0"/>
            <w:vAlign w:val="center"/>
          </w:tcPr>
          <w:p w14:paraId="79BE0F26" w14:textId="17CFE143" w:rsidR="006B4DEE" w:rsidRPr="00531168" w:rsidRDefault="006B4DEE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Emergency Level</w:t>
            </w:r>
          </w:p>
        </w:tc>
        <w:tc>
          <w:tcPr>
            <w:tcW w:w="1326" w:type="dxa"/>
            <w:shd w:val="clear" w:color="auto" w:fill="2080B0"/>
            <w:vAlign w:val="center"/>
          </w:tcPr>
          <w:p w14:paraId="511EF529" w14:textId="346DE700" w:rsidR="006B4DEE" w:rsidRPr="00531168" w:rsidRDefault="006B4DEE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Likelihood</w:t>
            </w:r>
          </w:p>
        </w:tc>
        <w:tc>
          <w:tcPr>
            <w:tcW w:w="1326" w:type="dxa"/>
            <w:shd w:val="clear" w:color="auto" w:fill="2080B0"/>
            <w:vAlign w:val="center"/>
          </w:tcPr>
          <w:p w14:paraId="01A34987" w14:textId="77777777" w:rsidR="006B4DEE" w:rsidRPr="00531168" w:rsidRDefault="006B4DEE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Has It Happened Before?</w:t>
            </w:r>
          </w:p>
        </w:tc>
        <w:tc>
          <w:tcPr>
            <w:tcW w:w="1327" w:type="dxa"/>
            <w:shd w:val="clear" w:color="auto" w:fill="2080B0"/>
            <w:vAlign w:val="center"/>
          </w:tcPr>
          <w:p w14:paraId="53564208" w14:textId="2FD562BB" w:rsidR="006B4DEE" w:rsidRPr="00531168" w:rsidRDefault="00DD674A" w:rsidP="00437BC4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Priority</w:t>
            </w:r>
          </w:p>
        </w:tc>
      </w:tr>
      <w:tr w:rsidR="006B4DEE" w:rsidRPr="008F5CA7" w14:paraId="74749CE2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9C2BCC2" w14:textId="21D9283B" w:rsidR="006B4DEE" w:rsidRPr="006072CA" w:rsidRDefault="006B4DEE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CF54CE9" w14:textId="56FAB418" w:rsidR="006B4DEE" w:rsidRPr="00A05A00" w:rsidRDefault="006B4DEE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7B7C3994" w14:textId="4D951FE4" w:rsidR="006B4DEE" w:rsidRPr="00A05A00" w:rsidRDefault="006B4DEE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7E436D3" w14:textId="77777777" w:rsidR="006B4DEE" w:rsidRPr="00A05A00" w:rsidRDefault="006B4DEE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06513540" w14:textId="3790C50C" w:rsidR="006B4DEE" w:rsidRPr="00A05A00" w:rsidRDefault="006B4DEE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91F99A1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7FF40FC3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10D9EA1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28B6AD2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98DB616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1C8F1B86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2230DF9B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302E1040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72323626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B5433EA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8583EE5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2C71BB72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79EBED74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2680F60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D22A05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46E8BA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FF0D2F9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74DA689B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6F1F9B6A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8EB7906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C8E9A58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5C40088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B551DBA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2B622484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5DF65103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D5E0539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AFB28D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05AD373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76ED755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12478CEE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6CD41508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5698F742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55282B5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96D2A88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C054F8A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32C93A73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0E22D9DD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7AF8CF1B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62E3040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4FDE164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ABC8083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6C9AEA7E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1A30F287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76716CF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8E2D64C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7143E5F1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4D94191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2DB52A9F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7BA59D5A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7072D44E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047B30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9AC6677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5E3C949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EADC684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73D647BE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48999644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7268DF0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D2004DC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0672923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50A20CEA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3A0EA45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2594443C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40A6C77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EEFF3AF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6647457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6CFF96F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2295EFAB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1D9A724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5EDC6EE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DF54A70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635A173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727F8ECB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464EC6B5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148B2658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94AC4ED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4719277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40C94F5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1BB378C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49E7D326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C8BAE30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5A66551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B89B443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CD52E08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6953AB84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46E246C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86CB1E9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CF22138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FF1388F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413B046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25E3D9A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506058EB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5F7E1C23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40A4EF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A845B4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2AEB52B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63690E8E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76964957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468FFF3B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D3F496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FF005D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61D6BB0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1B92391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6FD8581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2030B3A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9D29EBE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0209D5E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E41D76B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EF20D85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2A4E29C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6000AE1C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5244B3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C66CEDB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7F1A78C7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3598669A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6F4741E3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C467513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6060D62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13C13E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8D4AB08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1B2467F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5603FA87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463B3D03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9A075A0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BCD7DA6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255A332E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106A3871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0E3883AA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D337FA3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0BB43ADA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C427E3C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DF190C0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774ADE21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2A854DF5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34AD0D5C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6DE6476E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64F42F8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19C8EF40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4C8F24D8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389C44C0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4DAB2F5C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B44AD32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4B529A9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450C11B6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7B103A5F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  <w:tr w:rsidR="00C5433B" w:rsidRPr="008F5CA7" w14:paraId="44C83A5B" w14:textId="77777777" w:rsidTr="00890991">
        <w:trPr>
          <w:trHeight w:val="288"/>
          <w:jc w:val="center"/>
        </w:trPr>
        <w:tc>
          <w:tcPr>
            <w:tcW w:w="4765" w:type="dxa"/>
            <w:shd w:val="clear" w:color="auto" w:fill="auto"/>
            <w:vAlign w:val="center"/>
          </w:tcPr>
          <w:p w14:paraId="0B231964" w14:textId="77777777" w:rsidR="00C5433B" w:rsidRPr="006072CA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C91C51A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5F4363FD" w14:textId="77777777" w:rsidR="00C5433B" w:rsidRPr="00A05A00" w:rsidRDefault="00C5433B" w:rsidP="00472BC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6" w:type="dxa"/>
            <w:vAlign w:val="center"/>
          </w:tcPr>
          <w:p w14:paraId="375FD02E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27" w:type="dxa"/>
            <w:vAlign w:val="center"/>
          </w:tcPr>
          <w:p w14:paraId="71C2446F" w14:textId="77777777" w:rsidR="00C5433B" w:rsidRPr="00A05A00" w:rsidRDefault="00C5433B" w:rsidP="00FD69DB">
            <w:pPr>
              <w:rPr>
                <w:rFonts w:asciiTheme="majorHAnsi" w:hAnsiTheme="majorHAnsi" w:cstheme="majorHAnsi"/>
              </w:rPr>
            </w:pPr>
          </w:p>
        </w:tc>
      </w:tr>
    </w:tbl>
    <w:p w14:paraId="2162366D" w14:textId="77777777" w:rsidR="00BA2B4E" w:rsidRPr="00752247" w:rsidRDefault="00BA2B4E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9"/>
        <w:gridCol w:w="1615"/>
      </w:tblGrid>
      <w:tr w:rsidR="005F553C" w:rsidRPr="00D10402" w14:paraId="1D11C148" w14:textId="77777777" w:rsidTr="007B3E00">
        <w:trPr>
          <w:trHeight w:val="288"/>
        </w:trPr>
        <w:tc>
          <w:tcPr>
            <w:tcW w:w="2818" w:type="dxa"/>
            <w:shd w:val="clear" w:color="auto" w:fill="2080B0"/>
            <w:vAlign w:val="center"/>
          </w:tcPr>
          <w:p w14:paraId="09EDFCE2" w14:textId="77777777" w:rsidR="005F553C" w:rsidRPr="00D10402" w:rsidRDefault="005F553C" w:rsidP="007B3E00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0A0B126B" w14:textId="77777777" w:rsidR="005F553C" w:rsidRPr="00D10402" w:rsidRDefault="005F553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65CE3BB4" w14:textId="77777777" w:rsidR="005F553C" w:rsidRPr="00D10402" w:rsidRDefault="005F553C" w:rsidP="007B3E0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33D5685F" w14:textId="77777777" w:rsidR="005F553C" w:rsidRPr="00D10402" w:rsidRDefault="005F553C" w:rsidP="007B3E00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5F553C" w:rsidRPr="003978EC" w14:paraId="265F7EA1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4D30A68C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5E7215F6" w14:textId="77777777" w:rsidR="005F553C" w:rsidRPr="00257A6A" w:rsidRDefault="005F553C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59C154AF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1615" w:type="dxa"/>
            <w:vAlign w:val="center"/>
          </w:tcPr>
          <w:p w14:paraId="68DAA100" w14:textId="77777777" w:rsidR="005F553C" w:rsidRPr="00470269" w:rsidRDefault="005F553C" w:rsidP="007B3E0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5F553C" w:rsidRPr="003978EC" w14:paraId="30A4055E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3889A31B" w14:textId="77777777" w:rsidR="005F553C" w:rsidRPr="0013204A" w:rsidRDefault="005F553C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13431AA1" w14:textId="77777777" w:rsidR="005F553C" w:rsidRPr="00257A6A" w:rsidRDefault="005F553C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10614179" w14:textId="77777777" w:rsidR="005F553C" w:rsidRPr="0013204A" w:rsidRDefault="005F553C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7E196E29" w14:textId="77777777" w:rsidR="005F553C" w:rsidRPr="00470269" w:rsidRDefault="005F553C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890991" w:rsidRPr="003978EC" w14:paraId="355E5261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1C38153C" w14:textId="77777777" w:rsidR="00890991" w:rsidRPr="0013204A" w:rsidRDefault="00890991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2E93683A" w14:textId="77777777" w:rsidR="00890991" w:rsidRPr="00257A6A" w:rsidRDefault="00890991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68125335" w14:textId="77777777" w:rsidR="00890991" w:rsidRPr="0013204A" w:rsidRDefault="00890991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220F05CD" w14:textId="77777777" w:rsidR="00890991" w:rsidRPr="00470269" w:rsidRDefault="00890991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  <w:tr w:rsidR="00890991" w:rsidRPr="003978EC" w14:paraId="2BA68F74" w14:textId="77777777" w:rsidTr="007B3E00">
        <w:trPr>
          <w:trHeight w:val="288"/>
        </w:trPr>
        <w:tc>
          <w:tcPr>
            <w:tcW w:w="2818" w:type="dxa"/>
            <w:shd w:val="clear" w:color="auto" w:fill="auto"/>
            <w:vAlign w:val="center"/>
          </w:tcPr>
          <w:p w14:paraId="6B0BFF1A" w14:textId="77777777" w:rsidR="00890991" w:rsidRPr="0013204A" w:rsidRDefault="00890991" w:rsidP="007B3E00">
            <w:pPr>
              <w:rPr>
                <w:rFonts w:ascii="Bradley Hand ITC" w:hAnsi="Bradley Hand ITC"/>
              </w:rPr>
            </w:pPr>
          </w:p>
        </w:tc>
        <w:tc>
          <w:tcPr>
            <w:tcW w:w="2818" w:type="dxa"/>
            <w:vAlign w:val="center"/>
          </w:tcPr>
          <w:p w14:paraId="4646685A" w14:textId="77777777" w:rsidR="00890991" w:rsidRPr="00257A6A" w:rsidRDefault="00890991" w:rsidP="007B3E00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2819" w:type="dxa"/>
            <w:vAlign w:val="center"/>
          </w:tcPr>
          <w:p w14:paraId="161E31B8" w14:textId="77777777" w:rsidR="00890991" w:rsidRPr="0013204A" w:rsidRDefault="00890991" w:rsidP="007B3E00">
            <w:pPr>
              <w:rPr>
                <w:rFonts w:ascii="Ink Free" w:hAnsi="Ink Free"/>
              </w:rPr>
            </w:pPr>
          </w:p>
        </w:tc>
        <w:tc>
          <w:tcPr>
            <w:tcW w:w="1615" w:type="dxa"/>
            <w:vAlign w:val="center"/>
          </w:tcPr>
          <w:p w14:paraId="1F661E56" w14:textId="77777777" w:rsidR="00890991" w:rsidRPr="00470269" w:rsidRDefault="00890991" w:rsidP="007B3E00">
            <w:pPr>
              <w:rPr>
                <w:rFonts w:ascii="Ink Free" w:hAnsi="Ink Free"/>
                <w:sz w:val="20"/>
                <w:szCs w:val="20"/>
              </w:rPr>
            </w:pPr>
          </w:p>
        </w:tc>
      </w:tr>
    </w:tbl>
    <w:p w14:paraId="1F6EC556" w14:textId="77777777" w:rsidR="005F553C" w:rsidRPr="00531168" w:rsidRDefault="005F553C" w:rsidP="005F553C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5F553C" w:rsidRPr="00531168" w:rsidSect="008D5C28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7C5D" w14:textId="77777777" w:rsidR="004F6E7A" w:rsidRDefault="004F6E7A" w:rsidP="00FD69DB">
      <w:pPr>
        <w:spacing w:after="0" w:line="240" w:lineRule="auto"/>
      </w:pPr>
      <w:r>
        <w:separator/>
      </w:r>
    </w:p>
  </w:endnote>
  <w:endnote w:type="continuationSeparator" w:id="0">
    <w:p w14:paraId="372AE240" w14:textId="77777777" w:rsidR="004F6E7A" w:rsidRDefault="004F6E7A" w:rsidP="00FD69DB">
      <w:pPr>
        <w:spacing w:after="0" w:line="240" w:lineRule="auto"/>
      </w:pPr>
      <w:r>
        <w:continuationSeparator/>
      </w:r>
    </w:p>
  </w:endnote>
  <w:endnote w:type="continuationNotice" w:id="1">
    <w:p w14:paraId="5C7A7A6F" w14:textId="77777777" w:rsidR="004F6E7A" w:rsidRDefault="004F6E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9D5E" w14:textId="77777777" w:rsidR="004F6E7A" w:rsidRDefault="004F6E7A" w:rsidP="00FD69DB">
      <w:pPr>
        <w:spacing w:after="0" w:line="240" w:lineRule="auto"/>
      </w:pPr>
      <w:r>
        <w:separator/>
      </w:r>
    </w:p>
  </w:footnote>
  <w:footnote w:type="continuationSeparator" w:id="0">
    <w:p w14:paraId="2EAFDC0C" w14:textId="77777777" w:rsidR="004F6E7A" w:rsidRDefault="004F6E7A" w:rsidP="00FD69DB">
      <w:pPr>
        <w:spacing w:after="0" w:line="240" w:lineRule="auto"/>
      </w:pPr>
      <w:r>
        <w:continuationSeparator/>
      </w:r>
    </w:p>
  </w:footnote>
  <w:footnote w:type="continuationNotice" w:id="1">
    <w:p w14:paraId="3D6AE19F" w14:textId="77777777" w:rsidR="004F6E7A" w:rsidRDefault="004F6E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11C88"/>
    <w:rsid w:val="00012D3D"/>
    <w:rsid w:val="00013FC8"/>
    <w:rsid w:val="00022E4E"/>
    <w:rsid w:val="000260DC"/>
    <w:rsid w:val="00031736"/>
    <w:rsid w:val="000363F0"/>
    <w:rsid w:val="00036F9D"/>
    <w:rsid w:val="000405EE"/>
    <w:rsid w:val="00040810"/>
    <w:rsid w:val="00046A64"/>
    <w:rsid w:val="00054C5F"/>
    <w:rsid w:val="000551D0"/>
    <w:rsid w:val="00055707"/>
    <w:rsid w:val="00066360"/>
    <w:rsid w:val="0007067C"/>
    <w:rsid w:val="0007221C"/>
    <w:rsid w:val="000724FF"/>
    <w:rsid w:val="00074F39"/>
    <w:rsid w:val="00086FD0"/>
    <w:rsid w:val="00091049"/>
    <w:rsid w:val="000A488E"/>
    <w:rsid w:val="000A6E43"/>
    <w:rsid w:val="000C6C2D"/>
    <w:rsid w:val="001112A7"/>
    <w:rsid w:val="00117952"/>
    <w:rsid w:val="00120321"/>
    <w:rsid w:val="00121EA6"/>
    <w:rsid w:val="00124EA5"/>
    <w:rsid w:val="0013141D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A06B6"/>
    <w:rsid w:val="001B1A94"/>
    <w:rsid w:val="001C3600"/>
    <w:rsid w:val="001C72FE"/>
    <w:rsid w:val="001D4A4B"/>
    <w:rsid w:val="001D4D19"/>
    <w:rsid w:val="001E052C"/>
    <w:rsid w:val="001E76A4"/>
    <w:rsid w:val="001F18A9"/>
    <w:rsid w:val="001F7F5B"/>
    <w:rsid w:val="00203E15"/>
    <w:rsid w:val="00222779"/>
    <w:rsid w:val="00225BBC"/>
    <w:rsid w:val="00230078"/>
    <w:rsid w:val="002425D8"/>
    <w:rsid w:val="0025076C"/>
    <w:rsid w:val="00261337"/>
    <w:rsid w:val="00264FFD"/>
    <w:rsid w:val="00265217"/>
    <w:rsid w:val="00265EA4"/>
    <w:rsid w:val="00285E57"/>
    <w:rsid w:val="00286A55"/>
    <w:rsid w:val="00290D44"/>
    <w:rsid w:val="0029555F"/>
    <w:rsid w:val="002B342B"/>
    <w:rsid w:val="002C51CD"/>
    <w:rsid w:val="002C795B"/>
    <w:rsid w:val="002C7A67"/>
    <w:rsid w:val="002D797A"/>
    <w:rsid w:val="002E1F31"/>
    <w:rsid w:val="002F6FB1"/>
    <w:rsid w:val="00300660"/>
    <w:rsid w:val="00320620"/>
    <w:rsid w:val="003264CB"/>
    <w:rsid w:val="003307CD"/>
    <w:rsid w:val="00331D91"/>
    <w:rsid w:val="0033528B"/>
    <w:rsid w:val="003359F0"/>
    <w:rsid w:val="00340656"/>
    <w:rsid w:val="0034527E"/>
    <w:rsid w:val="003500A6"/>
    <w:rsid w:val="00352329"/>
    <w:rsid w:val="003622B1"/>
    <w:rsid w:val="003728B2"/>
    <w:rsid w:val="00372941"/>
    <w:rsid w:val="003957E4"/>
    <w:rsid w:val="003978EC"/>
    <w:rsid w:val="003A40A0"/>
    <w:rsid w:val="003A5210"/>
    <w:rsid w:val="003B3284"/>
    <w:rsid w:val="003B49D5"/>
    <w:rsid w:val="003C0F7E"/>
    <w:rsid w:val="003C1D23"/>
    <w:rsid w:val="003C67E5"/>
    <w:rsid w:val="003D05A9"/>
    <w:rsid w:val="003D0E4F"/>
    <w:rsid w:val="003D23BF"/>
    <w:rsid w:val="003D342C"/>
    <w:rsid w:val="003D64E9"/>
    <w:rsid w:val="003E0493"/>
    <w:rsid w:val="003E11B7"/>
    <w:rsid w:val="003E2AC9"/>
    <w:rsid w:val="003F75D6"/>
    <w:rsid w:val="00411B5F"/>
    <w:rsid w:val="004137FD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3B6B"/>
    <w:rsid w:val="00457BB8"/>
    <w:rsid w:val="00460979"/>
    <w:rsid w:val="00463A17"/>
    <w:rsid w:val="00472BCA"/>
    <w:rsid w:val="00476FAF"/>
    <w:rsid w:val="00480EC3"/>
    <w:rsid w:val="0048507A"/>
    <w:rsid w:val="00487C83"/>
    <w:rsid w:val="0049075A"/>
    <w:rsid w:val="00493164"/>
    <w:rsid w:val="004A0037"/>
    <w:rsid w:val="004A552D"/>
    <w:rsid w:val="004A579D"/>
    <w:rsid w:val="004A57A7"/>
    <w:rsid w:val="004B25ED"/>
    <w:rsid w:val="004B3DF1"/>
    <w:rsid w:val="004C5859"/>
    <w:rsid w:val="004C692C"/>
    <w:rsid w:val="004D0866"/>
    <w:rsid w:val="004D434F"/>
    <w:rsid w:val="004E6876"/>
    <w:rsid w:val="004F2BEA"/>
    <w:rsid w:val="004F3E39"/>
    <w:rsid w:val="004F4A83"/>
    <w:rsid w:val="004F5C2E"/>
    <w:rsid w:val="004F6E7A"/>
    <w:rsid w:val="004F7E89"/>
    <w:rsid w:val="0050053A"/>
    <w:rsid w:val="005049E6"/>
    <w:rsid w:val="00505971"/>
    <w:rsid w:val="005104D5"/>
    <w:rsid w:val="00510630"/>
    <w:rsid w:val="00521C08"/>
    <w:rsid w:val="0052575A"/>
    <w:rsid w:val="00525878"/>
    <w:rsid w:val="00531168"/>
    <w:rsid w:val="005326C9"/>
    <w:rsid w:val="005336D9"/>
    <w:rsid w:val="00533A67"/>
    <w:rsid w:val="00533C59"/>
    <w:rsid w:val="00536F74"/>
    <w:rsid w:val="005374B7"/>
    <w:rsid w:val="00545F88"/>
    <w:rsid w:val="00565ABF"/>
    <w:rsid w:val="0057371F"/>
    <w:rsid w:val="0057486D"/>
    <w:rsid w:val="00576F95"/>
    <w:rsid w:val="00585442"/>
    <w:rsid w:val="005A004D"/>
    <w:rsid w:val="005A3675"/>
    <w:rsid w:val="005A4E53"/>
    <w:rsid w:val="005C65A2"/>
    <w:rsid w:val="005D2CEF"/>
    <w:rsid w:val="005D41B6"/>
    <w:rsid w:val="005E3698"/>
    <w:rsid w:val="005E376A"/>
    <w:rsid w:val="005F30A9"/>
    <w:rsid w:val="005F5499"/>
    <w:rsid w:val="005F553C"/>
    <w:rsid w:val="005F775C"/>
    <w:rsid w:val="00606B91"/>
    <w:rsid w:val="006072CA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74F34"/>
    <w:rsid w:val="0068137D"/>
    <w:rsid w:val="006872C4"/>
    <w:rsid w:val="006972D4"/>
    <w:rsid w:val="006B3C94"/>
    <w:rsid w:val="006B439C"/>
    <w:rsid w:val="006B44A6"/>
    <w:rsid w:val="006B4DEE"/>
    <w:rsid w:val="006B6F85"/>
    <w:rsid w:val="006C58B3"/>
    <w:rsid w:val="006D0EBA"/>
    <w:rsid w:val="006D311A"/>
    <w:rsid w:val="006D55A4"/>
    <w:rsid w:val="006D612E"/>
    <w:rsid w:val="006D734E"/>
    <w:rsid w:val="006E042F"/>
    <w:rsid w:val="006E3B40"/>
    <w:rsid w:val="006E7730"/>
    <w:rsid w:val="006F3347"/>
    <w:rsid w:val="007102A8"/>
    <w:rsid w:val="0071322E"/>
    <w:rsid w:val="00723ACD"/>
    <w:rsid w:val="00726404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C779C"/>
    <w:rsid w:val="007D12C9"/>
    <w:rsid w:val="007D2EF0"/>
    <w:rsid w:val="007F2825"/>
    <w:rsid w:val="007F5565"/>
    <w:rsid w:val="008102D0"/>
    <w:rsid w:val="00813E05"/>
    <w:rsid w:val="00814EFD"/>
    <w:rsid w:val="0082231C"/>
    <w:rsid w:val="0082482D"/>
    <w:rsid w:val="00835B2D"/>
    <w:rsid w:val="00836409"/>
    <w:rsid w:val="008365E3"/>
    <w:rsid w:val="00856512"/>
    <w:rsid w:val="008573E7"/>
    <w:rsid w:val="008574EF"/>
    <w:rsid w:val="00857BDD"/>
    <w:rsid w:val="00857CAC"/>
    <w:rsid w:val="00861627"/>
    <w:rsid w:val="00863D7B"/>
    <w:rsid w:val="008701E1"/>
    <w:rsid w:val="008727DF"/>
    <w:rsid w:val="00883AA2"/>
    <w:rsid w:val="00890991"/>
    <w:rsid w:val="0089174C"/>
    <w:rsid w:val="0089376A"/>
    <w:rsid w:val="008968ED"/>
    <w:rsid w:val="008A586F"/>
    <w:rsid w:val="008A7F8B"/>
    <w:rsid w:val="008B02E9"/>
    <w:rsid w:val="008B294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27133"/>
    <w:rsid w:val="00930F2F"/>
    <w:rsid w:val="009339E5"/>
    <w:rsid w:val="009403E1"/>
    <w:rsid w:val="0094043E"/>
    <w:rsid w:val="00942628"/>
    <w:rsid w:val="00953A6B"/>
    <w:rsid w:val="00966EAB"/>
    <w:rsid w:val="00967D18"/>
    <w:rsid w:val="009808DF"/>
    <w:rsid w:val="00980959"/>
    <w:rsid w:val="009A01D1"/>
    <w:rsid w:val="009A1435"/>
    <w:rsid w:val="009B1876"/>
    <w:rsid w:val="009B2344"/>
    <w:rsid w:val="009B37F9"/>
    <w:rsid w:val="009C00A5"/>
    <w:rsid w:val="009C473B"/>
    <w:rsid w:val="009D0AF6"/>
    <w:rsid w:val="009E13EE"/>
    <w:rsid w:val="009E2C87"/>
    <w:rsid w:val="00A03507"/>
    <w:rsid w:val="00A03FBF"/>
    <w:rsid w:val="00A05A00"/>
    <w:rsid w:val="00A3271E"/>
    <w:rsid w:val="00A46F4F"/>
    <w:rsid w:val="00A509BA"/>
    <w:rsid w:val="00A62266"/>
    <w:rsid w:val="00A63724"/>
    <w:rsid w:val="00A82F6F"/>
    <w:rsid w:val="00A85579"/>
    <w:rsid w:val="00AA0A92"/>
    <w:rsid w:val="00AB41A8"/>
    <w:rsid w:val="00AB5A4B"/>
    <w:rsid w:val="00AD310A"/>
    <w:rsid w:val="00AE5845"/>
    <w:rsid w:val="00AE5A8F"/>
    <w:rsid w:val="00AE6CB1"/>
    <w:rsid w:val="00AF1DF9"/>
    <w:rsid w:val="00B00C82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669A"/>
    <w:rsid w:val="00B37095"/>
    <w:rsid w:val="00B41A92"/>
    <w:rsid w:val="00B5740B"/>
    <w:rsid w:val="00B74F43"/>
    <w:rsid w:val="00B77955"/>
    <w:rsid w:val="00B84B6E"/>
    <w:rsid w:val="00B96C0D"/>
    <w:rsid w:val="00BA2B4E"/>
    <w:rsid w:val="00BD271D"/>
    <w:rsid w:val="00BD2D1A"/>
    <w:rsid w:val="00BD793C"/>
    <w:rsid w:val="00BF0F41"/>
    <w:rsid w:val="00BF1067"/>
    <w:rsid w:val="00C05FB0"/>
    <w:rsid w:val="00C07A6B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5433B"/>
    <w:rsid w:val="00C73331"/>
    <w:rsid w:val="00C92334"/>
    <w:rsid w:val="00C92C65"/>
    <w:rsid w:val="00C93217"/>
    <w:rsid w:val="00C94844"/>
    <w:rsid w:val="00C95106"/>
    <w:rsid w:val="00CA00C9"/>
    <w:rsid w:val="00CA2B4B"/>
    <w:rsid w:val="00CA71B0"/>
    <w:rsid w:val="00CB2BE6"/>
    <w:rsid w:val="00CC149A"/>
    <w:rsid w:val="00CD2B4D"/>
    <w:rsid w:val="00CD327D"/>
    <w:rsid w:val="00CD7712"/>
    <w:rsid w:val="00CF2F64"/>
    <w:rsid w:val="00CF7E9F"/>
    <w:rsid w:val="00D06150"/>
    <w:rsid w:val="00D13CC2"/>
    <w:rsid w:val="00D173BD"/>
    <w:rsid w:val="00D20352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B4C14"/>
    <w:rsid w:val="00DC0667"/>
    <w:rsid w:val="00DC466F"/>
    <w:rsid w:val="00DC5C38"/>
    <w:rsid w:val="00DC7F25"/>
    <w:rsid w:val="00DD0D01"/>
    <w:rsid w:val="00DD3999"/>
    <w:rsid w:val="00DD674A"/>
    <w:rsid w:val="00DE7D2E"/>
    <w:rsid w:val="00DF14E7"/>
    <w:rsid w:val="00DF475A"/>
    <w:rsid w:val="00E0088A"/>
    <w:rsid w:val="00E04CC8"/>
    <w:rsid w:val="00E23801"/>
    <w:rsid w:val="00E26284"/>
    <w:rsid w:val="00E267E4"/>
    <w:rsid w:val="00E423A5"/>
    <w:rsid w:val="00E456C0"/>
    <w:rsid w:val="00E536C9"/>
    <w:rsid w:val="00E54943"/>
    <w:rsid w:val="00E606E2"/>
    <w:rsid w:val="00E70371"/>
    <w:rsid w:val="00E818D3"/>
    <w:rsid w:val="00EA3A9C"/>
    <w:rsid w:val="00EA44A4"/>
    <w:rsid w:val="00EA5173"/>
    <w:rsid w:val="00EB1D64"/>
    <w:rsid w:val="00ED3D8E"/>
    <w:rsid w:val="00EF6203"/>
    <w:rsid w:val="00EF65CD"/>
    <w:rsid w:val="00EF7986"/>
    <w:rsid w:val="00F03D90"/>
    <w:rsid w:val="00F050F6"/>
    <w:rsid w:val="00F0668C"/>
    <w:rsid w:val="00F12083"/>
    <w:rsid w:val="00F31E6C"/>
    <w:rsid w:val="00F34AC5"/>
    <w:rsid w:val="00F434A0"/>
    <w:rsid w:val="00F459C5"/>
    <w:rsid w:val="00F5547C"/>
    <w:rsid w:val="00F5553A"/>
    <w:rsid w:val="00F61EEB"/>
    <w:rsid w:val="00F66A47"/>
    <w:rsid w:val="00F81DFD"/>
    <w:rsid w:val="00F86208"/>
    <w:rsid w:val="00F91F82"/>
    <w:rsid w:val="00F9411A"/>
    <w:rsid w:val="00F97441"/>
    <w:rsid w:val="00F97FDC"/>
    <w:rsid w:val="00FA372F"/>
    <w:rsid w:val="00FB2ABC"/>
    <w:rsid w:val="00FB461E"/>
    <w:rsid w:val="00FB5E60"/>
    <w:rsid w:val="00FB788B"/>
    <w:rsid w:val="00FB7BF8"/>
    <w:rsid w:val="00FC4849"/>
    <w:rsid w:val="00FD1E7E"/>
    <w:rsid w:val="00FD23D9"/>
    <w:rsid w:val="00FD69DB"/>
    <w:rsid w:val="00FE6956"/>
    <w:rsid w:val="00FE6CFA"/>
    <w:rsid w:val="00FF404A"/>
    <w:rsid w:val="00FF532F"/>
    <w:rsid w:val="10365247"/>
    <w:rsid w:val="1F3F8C02"/>
    <w:rsid w:val="22CC2F54"/>
    <w:rsid w:val="275B241D"/>
    <w:rsid w:val="2813F2C8"/>
    <w:rsid w:val="426E5734"/>
    <w:rsid w:val="4479BE26"/>
    <w:rsid w:val="46158E87"/>
    <w:rsid w:val="519C092D"/>
    <w:rsid w:val="5B5AC433"/>
    <w:rsid w:val="5BA763B3"/>
    <w:rsid w:val="5CA2E15B"/>
    <w:rsid w:val="60ED9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28</cp:revision>
  <cp:lastPrinted>2023-05-25T17:16:00Z</cp:lastPrinted>
  <dcterms:created xsi:type="dcterms:W3CDTF">2022-09-01T19:22:00Z</dcterms:created>
  <dcterms:modified xsi:type="dcterms:W3CDTF">2023-05-25T17:16:00Z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